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EE3E" w14:textId="77777777" w:rsidR="00B63E16" w:rsidRDefault="00B63E16" w:rsidP="00B6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u w:val="single"/>
        </w:rPr>
      </w:pPr>
      <w:r w:rsidRPr="00B63E16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u w:val="single"/>
        </w:rPr>
        <w:t>Point-wise reply of Issues Raised by Karachi Tax Bar Association</w:t>
      </w:r>
    </w:p>
    <w:p w14:paraId="7921501A" w14:textId="77777777" w:rsidR="00B63E16" w:rsidRPr="00B63E16" w:rsidRDefault="00B63E16" w:rsidP="00B63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u w:val="single"/>
        </w:rPr>
      </w:pPr>
    </w:p>
    <w:p w14:paraId="5A107F70" w14:textId="5D5119E7" w:rsidR="00BB50DC" w:rsidRDefault="009B159C" w:rsidP="00755D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letter addressed to FBR, the Karachi Tax Bar Association (KTBA) has raised certain issues</w:t>
      </w:r>
      <w:r w:rsidR="00F0216B">
        <w:rPr>
          <w:rFonts w:ascii="Times New Roman" w:hAnsi="Times New Roman" w:cs="Times New Roman"/>
          <w:sz w:val="24"/>
          <w:szCs w:val="24"/>
        </w:rPr>
        <w:t xml:space="preserve"> which either </w:t>
      </w:r>
      <w:r w:rsidR="00A2354E">
        <w:rPr>
          <w:rFonts w:ascii="Times New Roman" w:hAnsi="Times New Roman" w:cs="Times New Roman"/>
          <w:sz w:val="24"/>
          <w:szCs w:val="24"/>
        </w:rPr>
        <w:t xml:space="preserve">are </w:t>
      </w:r>
      <w:r w:rsidR="00F0216B">
        <w:rPr>
          <w:rFonts w:ascii="Times New Roman" w:hAnsi="Times New Roman" w:cs="Times New Roman"/>
          <w:sz w:val="24"/>
          <w:szCs w:val="24"/>
        </w:rPr>
        <w:t xml:space="preserve">not related to the return filing for tax year 2023 or these have been </w:t>
      </w:r>
      <w:r w:rsidR="004825D4">
        <w:rPr>
          <w:rFonts w:ascii="Times New Roman" w:hAnsi="Times New Roman" w:cs="Times New Roman"/>
          <w:sz w:val="24"/>
          <w:szCs w:val="24"/>
        </w:rPr>
        <w:t xml:space="preserve">already </w:t>
      </w:r>
      <w:r w:rsidR="00F0216B">
        <w:rPr>
          <w:rFonts w:ascii="Times New Roman" w:hAnsi="Times New Roman" w:cs="Times New Roman"/>
          <w:sz w:val="24"/>
          <w:szCs w:val="24"/>
        </w:rPr>
        <w:t xml:space="preserve">resolved. </w:t>
      </w:r>
      <w:r w:rsidR="00BB50DC">
        <w:rPr>
          <w:rFonts w:ascii="Times New Roman" w:hAnsi="Times New Roman" w:cs="Times New Roman"/>
          <w:sz w:val="24"/>
          <w:szCs w:val="24"/>
        </w:rPr>
        <w:t>Point-</w:t>
      </w:r>
      <w:r w:rsidR="00006F7F">
        <w:rPr>
          <w:rFonts w:ascii="Times New Roman" w:hAnsi="Times New Roman" w:cs="Times New Roman"/>
          <w:sz w:val="24"/>
          <w:szCs w:val="24"/>
        </w:rPr>
        <w:t xml:space="preserve">wise response to the issues raised by KTBA is given below. </w:t>
      </w:r>
      <w:r w:rsidR="00755DD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8"/>
        <w:gridCol w:w="3172"/>
        <w:gridCol w:w="4770"/>
      </w:tblGrid>
      <w:tr w:rsidR="00BB50DC" w14:paraId="2D4C9A00" w14:textId="77777777" w:rsidTr="00BA4A1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FC84376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kern w:val="0"/>
              </w:rPr>
            </w:pPr>
          </w:p>
        </w:tc>
        <w:tc>
          <w:tcPr>
            <w:tcW w:w="79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CCE3D0" w14:textId="6DEB1402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BB50DC" w14:paraId="0AFDFEB1" w14:textId="77777777" w:rsidTr="00BB50D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BA27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  <w:t>S. NO.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674C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  <w:t>ISSUES RAISED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B5A3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  <w:t>FBR's RESPONSE</w:t>
            </w:r>
          </w:p>
        </w:tc>
      </w:tr>
      <w:tr w:rsidR="00BB50DC" w14:paraId="6B2D5B13" w14:textId="77777777" w:rsidTr="00BB50DC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82EC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8188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Failure to allow return revisions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2A87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IT Return for 2023 filers can revise their return within 60 days without any approval from commissioner and the system is allowing this. </w:t>
            </w:r>
          </w:p>
        </w:tc>
      </w:tr>
      <w:tr w:rsidR="00BB50DC" w14:paraId="2B491BA7" w14:textId="77777777" w:rsidTr="00BB50D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E688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C858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E-Intermediary data in client returns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C91C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Already Resolved </w:t>
            </w:r>
          </w:p>
        </w:tc>
      </w:tr>
      <w:tr w:rsidR="00BB50DC" w14:paraId="73EADD8B" w14:textId="77777777" w:rsidTr="00BB50D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9F66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DBB4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Incomplete “MIS Data”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6574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Not Related to Income Tax Return for tax year 2023 </w:t>
            </w:r>
          </w:p>
        </w:tc>
      </w:tr>
      <w:tr w:rsidR="00BB50DC" w14:paraId="17EB769B" w14:textId="77777777" w:rsidTr="00BB50D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0580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B779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No Reply Option in case of Appeal Effect. Notices issued by Tax Officers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6ABC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Not Related to Income Tax Return for tax year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2023 .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B50DC" w14:paraId="3A3FAC14" w14:textId="77777777" w:rsidTr="00BB50D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D6A6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7CF0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Rectification application can be filed only once in a Year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ECD7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Not Related to Income Tax Return for tax year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2023 .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B50DC" w14:paraId="0D8B8C7C" w14:textId="77777777" w:rsidTr="00BB50D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490B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34D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Major Security Issue – Previous Login Session is automatically opened.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B5AE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Resolved. Not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Retated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to Income Tax Return. </w:t>
            </w:r>
          </w:p>
        </w:tc>
      </w:tr>
      <w:tr w:rsidR="00BB50DC" w14:paraId="490BBD00" w14:textId="77777777" w:rsidTr="00BB50D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3455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7F11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NON-RESIDENTS – Last Year’s Wealth is still appearing / not editable.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6F05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already Resolved </w:t>
            </w:r>
          </w:p>
        </w:tc>
      </w:tr>
      <w:tr w:rsidR="00BB50DC" w14:paraId="6353340A" w14:textId="77777777" w:rsidTr="00BB50DC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CF4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5251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Non-availability of Data U/s.116A (inner</w:t>
            </w:r>
          </w:p>
          <w:p w14:paraId="512CD9EC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columns)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10D2C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116A is being filed without any issue. Specific cases with details may be shared with FBR if its hindering to file the tax return for TY 2023.</w:t>
            </w:r>
          </w:p>
        </w:tc>
      </w:tr>
      <w:tr w:rsidR="00BB50DC" w14:paraId="689CA458" w14:textId="77777777" w:rsidTr="00BB50DC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26C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D418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Salary Income with One-off Service Receipt, IRIS is asking to file Profit &amp; Loss Account, Balance Sheet and Attachment of Accounts.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572AA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Separate salary return is available. Person having Salary income as well as income from Business u/s 153 (minimum tax) requires to attach the PL account. This is required as per Law.</w:t>
            </w:r>
          </w:p>
        </w:tc>
      </w:tr>
      <w:tr w:rsidR="00BB50DC" w14:paraId="3A16A420" w14:textId="77777777" w:rsidTr="00BB50DC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B3D6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F9D9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In Final / Fixed / Minimum TAB – Dividend U/s. 150 is showing at “0%” and “35%” which is</w:t>
            </w:r>
          </w:p>
          <w:p w14:paraId="6F01E341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not in accordance in law.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2455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Not a technical issue. However, the matter is being further looked into. </w:t>
            </w:r>
          </w:p>
        </w:tc>
      </w:tr>
      <w:tr w:rsidR="00BB50DC" w14:paraId="573BAE72" w14:textId="77777777" w:rsidTr="00BB50D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31E6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08F7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In the SME Return, the is no tab to show tax deducted U/s.153 or other sections.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BF59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SME return is developed as per notified form and the reported matter is not a system issue. </w:t>
            </w:r>
          </w:p>
        </w:tc>
      </w:tr>
      <w:tr w:rsidR="00BB50DC" w14:paraId="586063EF" w14:textId="77777777" w:rsidTr="00BB50DC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2195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269F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In the Verification Tab, in case of Companies and AOP, the entity’s name and registration 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lastRenderedPageBreak/>
              <w:t xml:space="preserve">number </w:t>
            </w:r>
            <w:proofErr w:type="gram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is</w:t>
            </w:r>
            <w:proofErr w:type="gramEnd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appearing which is locked as well.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8545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lastRenderedPageBreak/>
              <w:t xml:space="preserve">Already Resolved </w:t>
            </w:r>
          </w:p>
        </w:tc>
      </w:tr>
      <w:tr w:rsidR="00BB50DC" w14:paraId="22020E36" w14:textId="77777777" w:rsidTr="00BB50DC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A6B0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5FC4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In case of AOP’s in Members Tab, the</w:t>
            </w:r>
          </w:p>
          <w:p w14:paraId="4087B406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position/status of the member is appearing as Director instead of Partner or member, which is factually incorrect.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3182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Already Resolved </w:t>
            </w:r>
          </w:p>
        </w:tc>
      </w:tr>
      <w:tr w:rsidR="00BB50DC" w14:paraId="710CB889" w14:textId="77777777" w:rsidTr="00BB50DC">
        <w:tblPrEx>
          <w:tblCellMar>
            <w:top w:w="0" w:type="dxa"/>
            <w:bottom w:w="0" w:type="dxa"/>
          </w:tblCellMar>
        </w:tblPrEx>
        <w:trPr>
          <w:trHeight w:val="2201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7FA1E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33C32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In case of Death of an Individual, the last</w:t>
            </w:r>
          </w:p>
          <w:p w14:paraId="20D92834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return of the deceased taxpayer is required to be filed by the legal heirs; hence in the verification tab name and CNIC of the legal heir should be allowed to put-in, as the deceased person cannot verify the Return. But the Electronic Return automatically picks the name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04CB" w14:textId="77777777" w:rsidR="00BB50DC" w:rsidRDefault="00BB50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Not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Issue it’s a suggestion. As we have another Process for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markign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the Tax Payer as deceased taxpayer</w:t>
            </w:r>
          </w:p>
        </w:tc>
      </w:tr>
    </w:tbl>
    <w:p w14:paraId="0350DF12" w14:textId="77777777" w:rsidR="00BB50DC" w:rsidRPr="009B159C" w:rsidRDefault="00BB50DC" w:rsidP="00755D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50DC" w:rsidRPr="009B159C" w:rsidSect="00BB50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4B"/>
    <w:rsid w:val="00006F7F"/>
    <w:rsid w:val="00306A94"/>
    <w:rsid w:val="004055FB"/>
    <w:rsid w:val="004069B1"/>
    <w:rsid w:val="004825D4"/>
    <w:rsid w:val="00755DD4"/>
    <w:rsid w:val="007C2D6D"/>
    <w:rsid w:val="007D404B"/>
    <w:rsid w:val="009B159C"/>
    <w:rsid w:val="00A2354E"/>
    <w:rsid w:val="00B20B6E"/>
    <w:rsid w:val="00B63E16"/>
    <w:rsid w:val="00BB50DC"/>
    <w:rsid w:val="00C42114"/>
    <w:rsid w:val="00C83BB6"/>
    <w:rsid w:val="00DD4B5A"/>
    <w:rsid w:val="00E139FA"/>
    <w:rsid w:val="00F0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71AC"/>
  <w15:chartTrackingRefBased/>
  <w15:docId w15:val="{E11CD29B-FCA8-4FCA-8083-18EB242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 Khan</dc:creator>
  <cp:keywords/>
  <dc:description/>
  <cp:lastModifiedBy>Nasir Khan</cp:lastModifiedBy>
  <cp:revision>14</cp:revision>
  <dcterms:created xsi:type="dcterms:W3CDTF">2023-09-30T05:56:00Z</dcterms:created>
  <dcterms:modified xsi:type="dcterms:W3CDTF">2023-09-30T06:52:00Z</dcterms:modified>
</cp:coreProperties>
</file>